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ook w:firstColumn="1" w:firstRow="1" w:lastColumn="0" w:lastRow="0" w:noHBand="0" w:noVBand="1" w:val="04A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9518"/>
      </w:tblGrid>
      <w:tr>
        <w:tc>
          <w:tcPr>
            <w:tcW w:type="dxa" w:w="9518"/>
            <w:shd w:val="clear" w:fill="FFF6E5"/>
          </w:tcPr>
          <w:p>
            <w:r>
              <w:rPr>
                <w:b/>
                <w:sz w:val="20"/>
              </w:rPr>
              <w:t>Diese Box vor dem Versand löschen.</w:t>
              <w:br/>
            </w:r>
            <w:r>
              <w:rPr>
                <w:sz w:val="18"/>
              </w:rPr>
              <w:t>Ersetzen Sie in Word über Suchen und Ersetzen (⌘+H) diese Platzhalter. Die Spitzklammern kommen sonst nirgends im Text vor, es kann also nichts Falsches getroffen werden.</w:t>
              <w:br/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«Firma»  </w:t>
            </w:r>
            <w:r>
              <w:rPr>
                <w:color w:val="5B6678"/>
                <w:sz w:val="18"/>
              </w:rPr>
              <w:t>Name des Auftraggebers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«Straße»  </w:t>
            </w:r>
            <w:r>
              <w:rPr>
                <w:color w:val="5B6678"/>
                <w:sz w:val="18"/>
              </w:rPr>
              <w:t>Straße und Hausnummer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«PLZ Ort»  </w:t>
            </w:r>
            <w:r>
              <w:rPr>
                <w:color w:val="5B6678"/>
                <w:sz w:val="18"/>
              </w:rPr>
              <w:t>Postleitzahl und Ort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«Ansprechpartner»  </w:t>
            </w:r>
            <w:r>
              <w:rPr>
                <w:color w:val="5B6678"/>
                <w:sz w:val="18"/>
              </w:rPr>
              <w:t>Vor- und Nachname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«Angebotsnummer»  </w:t>
            </w:r>
            <w:r>
              <w:rPr>
                <w:color w:val="5B6678"/>
                <w:sz w:val="18"/>
              </w:rPr>
              <w:t>z. B. WTC-2026-0101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«Datum»  </w:t>
            </w:r>
            <w:r>
              <w:rPr>
                <w:color w:val="5B6678"/>
                <w:sz w:val="18"/>
              </w:rPr>
              <w:t>Datum des Angebots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«Gültig bis»  </w:t>
            </w:r>
            <w:r>
              <w:rPr>
                <w:color w:val="5B6678"/>
                <w:sz w:val="18"/>
              </w:rPr>
              <w:t>Bindefrist, üblich vier Wochen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«Einrichtung»  </w:t>
            </w:r>
            <w:r>
              <w:rPr>
                <w:color w:val="5B6678"/>
                <w:sz w:val="18"/>
              </w:rPr>
              <w:t>einmalige Einrichtung, netto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«Monatlich»  </w:t>
            </w:r>
            <w:r>
              <w:rPr>
                <w:color w:val="5B6678"/>
                <w:sz w:val="18"/>
              </w:rPr>
              <w:t>Betrieb und Wartung je Monat, netto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«Stundensatz»  </w:t>
            </w:r>
            <w:r>
              <w:rPr>
                <w:color w:val="5B6678"/>
                <w:sz w:val="18"/>
              </w:rPr>
              <w:t>für Weiterentwicklung, netto</w:t>
            </w:r>
          </w:p>
          <w:p>
            <w:pPr>
              <w:spacing w:after="0"/>
            </w:pPr>
            <w:r>
              <w:rPr>
                <w:b/>
                <w:color w:val="3B82F6"/>
                <w:sz w:val="18"/>
              </w:rPr>
              <w:t xml:space="preserve">«Arbeitsplätze»  </w:t>
            </w:r>
            <w:r>
              <w:rPr>
                <w:color w:val="5B6678"/>
                <w:sz w:val="18"/>
              </w:rPr>
              <w:t>Zahl der Nutzer</w:t>
            </w:r>
          </w:p>
        </w:tc>
      </w:tr>
    </w:tbl>
    <w:p>
      <w:pPr>
        <w:spacing w:before="0" w:after="280"/>
      </w:pPr>
    </w:p>
    <w:p>
      <w:pPr>
        <w:spacing w:after="280"/>
      </w:pPr>
      <w:r>
        <w:drawing>
          <wp:inline xmlns:a="http://schemas.openxmlformats.org/drawingml/2006/main" xmlns:pic="http://schemas.openxmlformats.org/drawingml/2006/picture">
            <wp:extent cx="5832000" cy="1458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ecrio-banner-brei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458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/>
      </w:pPr>
      <w:r>
        <w:rPr>
          <w:b/>
          <w:color w:val="3B82F6"/>
          <w:sz w:val="42"/>
        </w:rPr>
        <w:t>Angebot: Ihr eigenes Recruiting-CRM</w:t>
      </w:r>
    </w:p>
    <w:p>
      <w:pPr>
        <w:spacing w:before="0" w:after="240"/>
      </w:pPr>
      <w:r>
        <w:rPr>
          <w:b w:val="0"/>
          <w:color w:val="5B6678"/>
          <w:sz w:val="22"/>
        </w:rPr>
        <w:t>Vom ersten Lead bis zur gestellten Rechnung in einem System. Als eigene Instanz, mit Ihren Daten und Ihrem Namen darauf.</w:t>
      </w:r>
    </w:p>
    <w:tbl>
      <w:tblPr>
        <w:tblW w:type="auto" w:w="0"/>
        <w:tblLook w:firstColumn="1" w:firstRow="1" w:lastColumn="0" w:lastRow="0" w:noHBand="0" w:noVBand="1" w:val="04A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2379"/>
        <w:gridCol w:w="2379"/>
        <w:gridCol w:w="2379"/>
        <w:gridCol w:w="2379"/>
      </w:tblGrid>
      <w:tr>
        <w:tc>
          <w:tcPr>
            <w:tcW w:type="dxa" w:w="2379"/>
            <w:shd w:val="clear" w:fill="EFF4FE"/>
          </w:tcPr>
          <w:p>
            <w:pPr>
              <w:spacing w:after="20"/>
            </w:pPr>
            <w:r>
              <w:rPr>
                <w:b/>
                <w:color w:val="3B82F6"/>
                <w:sz w:val="30"/>
              </w:rPr>
              <w:t>23</w:t>
            </w:r>
          </w:p>
          <w:p>
            <w:pPr>
              <w:spacing w:after="40"/>
            </w:pPr>
            <w:r>
              <w:rPr>
                <w:color w:val="5B6678"/>
                <w:sz w:val="15"/>
              </w:rPr>
              <w:t>Module, jedes einzeln zuschaltbar</w:t>
            </w:r>
          </w:p>
        </w:tc>
        <w:tc>
          <w:tcPr>
            <w:tcW w:type="dxa" w:w="2379"/>
            <w:shd w:val="clear" w:fill="EFF4FE"/>
          </w:tcPr>
          <w:p>
            <w:pPr>
              <w:spacing w:after="20"/>
            </w:pPr>
            <w:r>
              <w:rPr>
                <w:b/>
                <w:color w:val="3B82F6"/>
                <w:sz w:val="30"/>
              </w:rPr>
              <w:t>1:1</w:t>
            </w:r>
          </w:p>
          <w:p>
            <w:pPr>
              <w:spacing w:after="40"/>
            </w:pPr>
            <w:r>
              <w:rPr>
                <w:color w:val="5B6678"/>
                <w:sz w:val="15"/>
              </w:rPr>
              <w:t>Eine eigene Instanz je Kunde</w:t>
            </w:r>
          </w:p>
        </w:tc>
        <w:tc>
          <w:tcPr>
            <w:tcW w:type="dxa" w:w="2379"/>
            <w:shd w:val="clear" w:fill="EFF4FE"/>
          </w:tcPr>
          <w:p>
            <w:pPr>
              <w:spacing w:after="20"/>
            </w:pPr>
            <w:r>
              <w:rPr>
                <w:b/>
                <w:color w:val="3B82F6"/>
                <w:sz w:val="30"/>
              </w:rPr>
              <w:t>DE</w:t>
            </w:r>
          </w:p>
          <w:p>
            <w:pPr>
              <w:spacing w:after="40"/>
            </w:pPr>
            <w:r>
              <w:rPr>
                <w:color w:val="5B6678"/>
                <w:sz w:val="15"/>
              </w:rPr>
              <w:t>Rechenzentrum in Deutschland</w:t>
            </w:r>
          </w:p>
        </w:tc>
        <w:tc>
          <w:tcPr>
            <w:tcW w:type="dxa" w:w="2379"/>
            <w:shd w:val="clear" w:fill="EFF4FE"/>
          </w:tcPr>
          <w:p>
            <w:pPr>
              <w:spacing w:after="20"/>
            </w:pPr>
            <w:r>
              <w:rPr>
                <w:b/>
                <w:color w:val="3B82F6"/>
                <w:sz w:val="30"/>
              </w:rPr>
              <w:t>EU</w:t>
            </w:r>
          </w:p>
          <w:p>
            <w:pPr>
              <w:spacing w:after="40"/>
            </w:pPr>
            <w:r>
              <w:rPr>
                <w:color w:val="5B6678"/>
                <w:sz w:val="15"/>
              </w:rPr>
              <w:t>Keine Verarbeitung außerhalb der EU</w:t>
            </w:r>
          </w:p>
        </w:tc>
      </w:tr>
    </w:tbl>
    <w:p>
      <w:pPr>
        <w:spacing w:before="0" w:after="280"/>
      </w:pPr>
    </w:p>
    <w:tbl>
      <w:tblPr>
        <w:tblW w:type="auto" w:w="0"/>
        <w:tblLook w:firstColumn="1" w:firstRow="1" w:lastColumn="0" w:lastRow="0" w:noHBand="0" w:noVBand="1" w:val="04A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9518"/>
      </w:tblGrid>
      <w:tr>
        <w:tc>
          <w:tcPr>
            <w:tcW w:type="dxa" w:w="9518"/>
            <w:shd w:val="clear" w:fill="EFF4FE"/>
          </w:tcPr>
          <w:p>
            <w:pPr>
              <w:spacing w:after="20"/>
            </w:pPr>
            <w:r>
              <w:rPr>
                <w:color w:val="5B6678"/>
                <w:sz w:val="20"/>
              </w:rPr>
              <w:t xml:space="preserve">Für: </w:t>
            </w:r>
            <w:r>
              <w:rPr>
                <w:b/>
                <w:sz w:val="20"/>
              </w:rPr>
              <w:t>«Firma», «PLZ Ort»</w:t>
            </w:r>
          </w:p>
          <w:p>
            <w:pPr>
              <w:spacing w:after="20"/>
            </w:pPr>
            <w:r>
              <w:rPr>
                <w:color w:val="5B6678"/>
                <w:sz w:val="20"/>
              </w:rPr>
              <w:t xml:space="preserve">Ansprechpartner: </w:t>
            </w:r>
            <w:r>
              <w:rPr>
                <w:b/>
                <w:sz w:val="20"/>
              </w:rPr>
              <w:t>«Ansprechpartner»</w:t>
            </w:r>
          </w:p>
          <w:p>
            <w:pPr>
              <w:spacing w:after="20"/>
            </w:pPr>
            <w:r>
              <w:rPr>
                <w:color w:val="5B6678"/>
                <w:sz w:val="20"/>
              </w:rPr>
              <w:t xml:space="preserve">Datum: </w:t>
            </w:r>
            <w:r>
              <w:rPr>
                <w:b/>
                <w:sz w:val="20"/>
              </w:rPr>
              <w:t>«Datum»</w:t>
            </w:r>
          </w:p>
          <w:p>
            <w:pPr>
              <w:spacing w:after="20"/>
            </w:pPr>
            <w:r>
              <w:rPr>
                <w:color w:val="5B6678"/>
                <w:sz w:val="20"/>
              </w:rPr>
              <w:t xml:space="preserve">Angebotsnummer: </w:t>
            </w:r>
            <w:r>
              <w:rPr>
                <w:b/>
                <w:sz w:val="20"/>
              </w:rPr>
              <w:t>«Angebotsnummer»</w:t>
            </w:r>
          </w:p>
          <w:p>
            <w:pPr>
              <w:spacing w:after="20"/>
            </w:pPr>
            <w:r>
              <w:rPr>
                <w:color w:val="5B6678"/>
                <w:sz w:val="20"/>
              </w:rPr>
              <w:t xml:space="preserve">Gültig bis: </w:t>
            </w:r>
            <w:r>
              <w:rPr>
                <w:b/>
                <w:sz w:val="20"/>
              </w:rPr>
              <w:t>«Gültig bis»</w:t>
            </w:r>
          </w:p>
          <w:p>
            <w:pPr>
              <w:spacing w:after="20"/>
            </w:pPr>
            <w:r>
              <w:rPr>
                <w:color w:val="5B6678"/>
                <w:sz w:val="20"/>
              </w:rPr>
              <w:t xml:space="preserve">Art: </w:t>
            </w:r>
            <w:r>
              <w:rPr>
                <w:b/>
                <w:sz w:val="20"/>
              </w:rPr>
              <w:t>Einrichtung einmalig, danach Betrieb monatlich</w:t>
            </w:r>
          </w:p>
        </w:tc>
      </w:tr>
    </w:tbl>
    <w:p>
      <w:pPr>
        <w:spacing w:before="0" w:after="200"/>
      </w:pPr>
    </w:p>
    <w:p>
      <w:pPr>
        <w:spacing w:before="400" w:after="40"/>
      </w:pPr>
      <w:r>
        <w:rPr>
          <w:b/>
          <w:color w:val="3B82F6"/>
          <w:sz w:val="28"/>
        </w:rPr>
        <w:t>01  Beteiligte</w:t>
      </w:r>
    </w:p>
    <w:p>
      <w:pPr>
        <w:spacing w:before="0" w:after="200"/>
        <w:pBdr>
          <w:bottom w:val="single" w:sz="6" w:color="DDE3EC"/>
        </w:pBdr>
      </w:pPr>
    </w:p>
    <w:tbl>
      <w:tblPr>
        <w:tblW w:type="auto" w:w="0"/>
        <w:tblLook w:firstColumn="1" w:firstRow="1" w:lastColumn="0" w:lastRow="0" w:noHBand="0" w:noVBand="1" w:val="04A0"/>
        <w:jc w:val="left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759"/>
        <w:gridCol w:w="4759"/>
      </w:tblGrid>
      <w:tr>
        <w:tc>
          <w:tcPr>
            <w:tcW w:type="dxa" w:w="4759"/>
          </w:tcPr>
          <w:p>
            <w:r>
              <w:rPr>
                <w:b/>
                <w:color w:val="3B82F6"/>
                <w:sz w:val="16"/>
              </w:rPr>
              <w:t>ANBIETER</w:t>
            </w:r>
          </w:p>
          <w:p>
            <w:pPr>
              <w:spacing w:after="0"/>
            </w:pPr>
            <w:r>
              <w:rPr>
                <w:b/>
                <w:sz w:val="20"/>
              </w:rPr>
              <w:t>Wintic GmbH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Steige 44/2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74821 Mosbach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Erik Winter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erik.winter@wintic.de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+49 1515 0501357</w:t>
            </w:r>
          </w:p>
        </w:tc>
        <w:tc>
          <w:tcPr>
            <w:tcW w:type="dxa" w:w="4759"/>
          </w:tcPr>
          <w:p>
            <w:r>
              <w:rPr>
                <w:b/>
                <w:color w:val="3B82F6"/>
                <w:sz w:val="16"/>
              </w:rPr>
              <w:t>AUFTRAGGEBER</w:t>
            </w:r>
          </w:p>
          <w:p>
            <w:pPr>
              <w:spacing w:after="0"/>
            </w:pPr>
            <w:r>
              <w:rPr>
                <w:b/>
                <w:sz w:val="20"/>
              </w:rPr>
              <w:t>«Firma»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«Straße»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«PLZ Ort»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  <w:t>«Ansprechpartner»</w:t>
            </w:r>
          </w:p>
          <w:p>
            <w:pPr>
              <w:spacing w:after="0"/>
            </w:pPr>
            <w:r>
              <w:rPr>
                <w:b w:val="0"/>
                <w:sz w:val="20"/>
              </w:rPr>
            </w:r>
          </w:p>
          <w:p>
            <w:pPr>
              <w:spacing w:after="0"/>
            </w:pPr>
            <w:r>
              <w:rPr>
                <w:b w:val="0"/>
                <w:sz w:val="20"/>
              </w:rPr>
            </w:r>
          </w:p>
        </w:tc>
      </w:tr>
    </w:tbl>
    <w:p>
      <w:pPr>
        <w:spacing w:before="400" w:after="40"/>
      </w:pPr>
      <w:r>
        <w:rPr>
          <w:b/>
          <w:color w:val="3B82F6"/>
          <w:sz w:val="28"/>
        </w:rPr>
        <w:t>02  Was Sie bekommen</w:t>
      </w:r>
    </w:p>
    <w:p>
      <w:pPr>
        <w:spacing w:before="0" w:after="200"/>
        <w:pBdr>
          <w:bottom w:val="single" w:sz="6" w:color="DDE3EC"/>
        </w:pBdr>
      </w:pPr>
    </w:p>
    <w:p>
      <w:pPr>
        <w:spacing w:before="0" w:after="120"/>
      </w:pPr>
      <w:r>
        <w:rPr>
          <w:b w:val="0"/>
          <w:color w:val="141B2A"/>
          <w:sz w:val="21"/>
        </w:rPr>
        <w:t>Eine eigene Recrio-Instanz für «Firma»: eigene Umgebung, eigene Datenbank, Ihre Adresse und Ihr Logo in der Anwendung. Getrennt von jedem anderen Kunden.</w:t>
      </w:r>
    </w:p>
    <w:p>
      <w:pPr>
        <w:pStyle w:val="ListBullet"/>
        <w:spacing w:after="60"/>
      </w:pPr>
      <w:r>
        <w:rPr>
          <w:color w:val="141B2A"/>
          <w:sz w:val="21"/>
        </w:rPr>
        <w:t>Pipeline für Kandidaten- und Firmenfälle, Phasen mit Ihren Bezeichnungen</w:t>
      </w:r>
    </w:p>
    <w:p>
      <w:pPr>
        <w:pStyle w:val="ListBullet"/>
        <w:spacing w:after="60"/>
      </w:pPr>
      <w:r>
        <w:rPr>
          <w:color w:val="141B2A"/>
          <w:sz w:val="21"/>
        </w:rPr>
        <w:t>Suchaufträge mit KI-Bewertung: Stärken, Schwächen und Begründung je Kandidat</w:t>
      </w:r>
    </w:p>
    <w:p>
      <w:pPr>
        <w:pStyle w:val="ListBullet"/>
        <w:spacing w:after="60"/>
      </w:pPr>
      <w:r>
        <w:rPr>
          <w:color w:val="141B2A"/>
          <w:sz w:val="21"/>
        </w:rPr>
        <w:t>Lebenslauf-Upload über persönlichen Link, automatische Schwärzung persönlicher Angaben</w:t>
      </w:r>
    </w:p>
    <w:p>
      <w:pPr>
        <w:pStyle w:val="ListBullet"/>
        <w:spacing w:after="60"/>
      </w:pPr>
      <w:r>
        <w:rPr>
          <w:color w:val="141B2A"/>
          <w:sz w:val="21"/>
        </w:rPr>
        <w:t>Profil-Generator: feste Vorlage in Ihrer Hausfarbe, auf Wunsch anonymisiert</w:t>
      </w:r>
    </w:p>
    <w:p>
      <w:pPr>
        <w:pStyle w:val="ListBullet"/>
        <w:spacing w:after="60"/>
      </w:pPr>
      <w:r>
        <w:rPr>
          <w:color w:val="141B2A"/>
          <w:sz w:val="21"/>
        </w:rPr>
        <w:t>Aktivitätsliste mit Telefonanbindung (Placetel, Webex oder Aircall)</w:t>
      </w:r>
    </w:p>
    <w:p>
      <w:pPr>
        <w:pStyle w:val="ListBullet"/>
        <w:spacing w:after="60"/>
      </w:pPr>
      <w:r>
        <w:rPr>
          <w:color w:val="141B2A"/>
          <w:sz w:val="21"/>
        </w:rPr>
        <w:t>Posteingang mit Antwortvorschlägen, Entwürfe mit Freigabe vor dem Versand</w:t>
      </w:r>
    </w:p>
    <w:p>
      <w:pPr>
        <w:pStyle w:val="ListBullet"/>
        <w:spacing w:after="60"/>
      </w:pPr>
      <w:r>
        <w:rPr>
          <w:color w:val="141B2A"/>
          <w:sz w:val="21"/>
        </w:rPr>
        <w:t>Kalender mit beidseitigem Google-Abgleich, Terminvorschläge an Kandidat und Kunde</w:t>
      </w:r>
    </w:p>
    <w:p>
      <w:pPr>
        <w:pStyle w:val="ListBullet"/>
        <w:spacing w:after="60"/>
      </w:pPr>
      <w:r>
        <w:rPr>
          <w:color w:val="141B2A"/>
          <w:sz w:val="21"/>
        </w:rPr>
        <w:t>Karte mit Umkreissuche, Kampagnen und Lead-Generator</w:t>
      </w:r>
    </w:p>
    <w:p>
      <w:pPr>
        <w:pStyle w:val="ListBullet"/>
        <w:spacing w:after="60"/>
      </w:pPr>
      <w:r>
        <w:rPr>
          <w:color w:val="141B2A"/>
          <w:sz w:val="21"/>
        </w:rPr>
        <w:t>Workflows: ausgelöst durch Ereignis oder Knopfdruck, mit Laufprotokoll</w:t>
      </w:r>
    </w:p>
    <w:p>
      <w:pPr>
        <w:pStyle w:val="ListBullet"/>
        <w:spacing w:after="60"/>
      </w:pPr>
      <w:r>
        <w:rPr>
          <w:color w:val="141B2A"/>
          <w:sz w:val="21"/>
        </w:rPr>
        <w:t>Verträge mit Versionen und Fristen, Rechnung an lexoffice</w:t>
      </w:r>
    </w:p>
    <w:p>
      <w:pPr>
        <w:pStyle w:val="ListBullet"/>
        <w:spacing w:after="60"/>
      </w:pPr>
      <w:r>
        <w:rPr>
          <w:color w:val="141B2A"/>
          <w:sz w:val="21"/>
        </w:rPr>
        <w:t>Kunden- und Kandidatenportal, einzeln zuschaltbar</w:t>
      </w:r>
    </w:p>
    <w:p>
      <w:pPr>
        <w:pStyle w:val="ListBullet"/>
        <w:spacing w:after="60"/>
      </w:pPr>
      <w:r>
        <w:rPr>
          <w:color w:val="141B2A"/>
          <w:sz w:val="21"/>
        </w:rPr>
        <w:t>Rollen und Rechte, Löschfristen nach DSGVO mit Vorwarnliste</w:t>
      </w:r>
    </w:p>
    <w:p>
      <w:pPr>
        <w:pStyle w:val="ListBullet"/>
        <w:spacing w:after="60"/>
      </w:pPr>
      <w:r>
        <w:rPr>
          <w:color w:val="141B2A"/>
          <w:sz w:val="21"/>
        </w:rPr>
        <w:t>REST-Schnittstelle mit Dokumentation, API-Schlüssel, Webhooks mit Zustellprotokoll</w:t>
      </w:r>
    </w:p>
    <w:p>
      <w:pPr>
        <w:spacing w:before="120" w:after="120"/>
      </w:pPr>
      <w:r>
        <w:rPr>
          <w:b w:val="0"/>
          <w:color w:val="5B6678"/>
          <w:sz w:val="21"/>
        </w:rPr>
        <w:t>Nicht jedes Modul ist bei jedem Haus eingeschaltet. Was «Firma» braucht, wird bei der Aufnahme festgelegt.</w:t>
      </w:r>
    </w:p>
    <w:p>
      <w:pPr>
        <w:spacing w:before="400" w:after="40"/>
      </w:pPr>
      <w:r>
        <w:rPr>
          <w:b/>
          <w:color w:val="3B82F6"/>
          <w:sz w:val="28"/>
        </w:rPr>
        <w:t>03  Was in der Einrichtung enthalten ist</w:t>
      </w:r>
    </w:p>
    <w:p>
      <w:pPr>
        <w:spacing w:before="0" w:after="200"/>
        <w:pBdr>
          <w:bottom w:val="single" w:sz="6" w:color="DDE3EC"/>
        </w:pBdr>
      </w:pPr>
    </w:p>
    <w:p>
      <w:pPr>
        <w:pStyle w:val="ListBullet"/>
        <w:spacing w:after="60"/>
      </w:pPr>
      <w:r>
        <w:rPr>
          <w:color w:val="141B2A"/>
          <w:sz w:val="21"/>
        </w:rPr>
        <w:t>Aufsetzen Ihrer Instanz auf Servern in Deutschland, eigene Datenbank</w:t>
      </w:r>
    </w:p>
    <w:p>
      <w:pPr>
        <w:pStyle w:val="ListBullet"/>
        <w:spacing w:after="60"/>
      </w:pPr>
      <w:r>
        <w:rPr>
          <w:color w:val="141B2A"/>
          <w:sz w:val="21"/>
        </w:rPr>
        <w:t>Konfiguration auf Ihren Ablauf: Phasen, Felder, Rollen, Vorlagen</w:t>
      </w:r>
    </w:p>
    <w:p>
      <w:pPr>
        <w:pStyle w:val="ListBullet"/>
        <w:spacing w:after="60"/>
      </w:pPr>
      <w:r>
        <w:rPr>
          <w:color w:val="141B2A"/>
          <w:sz w:val="21"/>
        </w:rPr>
        <w:t>Übernahme bestehender Kandidaten- und Firmendaten, soweit auslesbar</w:t>
      </w:r>
    </w:p>
    <w:p>
      <w:pPr>
        <w:pStyle w:val="ListBullet"/>
        <w:spacing w:after="60"/>
      </w:pPr>
      <w:r>
        <w:rPr>
          <w:color w:val="141B2A"/>
          <w:sz w:val="21"/>
        </w:rPr>
        <w:t>E-Mail-Vorlagen und wiederkehrende Abläufe</w:t>
      </w:r>
    </w:p>
    <w:p>
      <w:pPr>
        <w:pStyle w:val="ListBullet"/>
        <w:spacing w:after="60"/>
      </w:pPr>
      <w:r>
        <w:rPr>
          <w:color w:val="141B2A"/>
          <w:sz w:val="21"/>
        </w:rPr>
        <w:t>Zwei Schulungstermine für Ihr Team, getrennt nach Rollen</w:t>
      </w:r>
    </w:p>
    <w:p>
      <w:pPr>
        <w:pStyle w:val="ListBullet"/>
        <w:spacing w:after="60"/>
      </w:pPr>
      <w:r>
        <w:rPr>
          <w:color w:val="141B2A"/>
          <w:sz w:val="21"/>
        </w:rPr>
        <w:t>Vier Wochen begleiteter Start mit direktem Draht</w:t>
      </w:r>
    </w:p>
    <w:p>
      <w:pPr>
        <w:spacing w:before="400" w:after="40"/>
      </w:pPr>
      <w:r>
        <w:rPr>
          <w:b/>
          <w:color w:val="3B82F6"/>
          <w:sz w:val="28"/>
        </w:rPr>
        <w:t>04  Investition</w:t>
      </w:r>
    </w:p>
    <w:p>
      <w:pPr>
        <w:spacing w:before="0" w:after="200"/>
        <w:pBdr>
          <w:bottom w:val="single" w:sz="6" w:color="DDE3EC"/>
        </w:pBdr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73"/>
        <w:gridCol w:w="3173"/>
        <w:gridCol w:w="3173"/>
      </w:tblGrid>
      <w:tr>
        <w:tc>
          <w:tcPr>
            <w:tcW w:type="dxa" w:w="3173"/>
            <w:shd w:val="clear" w:fill="EFF4FE"/>
          </w:tcPr>
          <w:p>
            <w:r>
              <w:rPr>
                <w:b/>
                <w:color w:val="3B82F6"/>
                <w:sz w:val="19"/>
              </w:rPr>
              <w:t>Position</w:t>
            </w:r>
          </w:p>
        </w:tc>
        <w:tc>
          <w:tcPr>
            <w:tcW w:type="dxa" w:w="3173"/>
            <w:shd w:val="clear" w:fill="EFF4FE"/>
          </w:tcPr>
          <w:p>
            <w:r>
              <w:rPr>
                <w:b/>
                <w:color w:val="3B82F6"/>
                <w:sz w:val="19"/>
              </w:rPr>
              <w:t>Was darin steckt</w:t>
            </w:r>
          </w:p>
        </w:tc>
        <w:tc>
          <w:tcPr>
            <w:tcW w:type="dxa" w:w="3173"/>
            <w:shd w:val="clear" w:fill="EFF4FE"/>
          </w:tcPr>
          <w:p>
            <w:r>
              <w:rPr>
                <w:b/>
                <w:color w:val="3B82F6"/>
                <w:sz w:val="19"/>
              </w:rPr>
              <w:t>Netto</w:t>
            </w:r>
          </w:p>
        </w:tc>
      </w:tr>
      <w:tr>
        <w:tc>
          <w:tcPr>
            <w:tcW w:type="dxa" w:w="3173"/>
          </w:tcPr>
          <w:p>
            <w:r>
              <w:rPr>
                <w:b/>
                <w:sz w:val="19"/>
              </w:rPr>
              <w:t>Einrichtung</w:t>
            </w:r>
          </w:p>
        </w:tc>
        <w:tc>
          <w:tcPr>
            <w:tcW w:type="dxa" w:w="3173"/>
          </w:tcPr>
          <w:p>
            <w:r>
              <w:rPr>
                <w:b w:val="0"/>
                <w:sz w:val="19"/>
              </w:rPr>
              <w:t>Instanz, Konfiguration, Datenübernahme, Vorlagen, Schulung, begleiteter Start</w:t>
            </w:r>
          </w:p>
        </w:tc>
        <w:tc>
          <w:tcPr>
            <w:tcW w:type="dxa" w:w="3173"/>
          </w:tcPr>
          <w:p>
            <w:r>
              <w:rPr>
                <w:b/>
                <w:sz w:val="19"/>
              </w:rPr>
              <w:t>«Einrichtung»</w:t>
            </w:r>
          </w:p>
        </w:tc>
      </w:tr>
      <w:tr>
        <w:tc>
          <w:tcPr>
            <w:tcW w:type="dxa" w:w="3173"/>
          </w:tcPr>
          <w:p>
            <w:r>
              <w:rPr>
                <w:b/>
                <w:sz w:val="19"/>
              </w:rPr>
              <w:t>Betrieb &amp; Wartung</w:t>
            </w:r>
          </w:p>
        </w:tc>
        <w:tc>
          <w:tcPr>
            <w:tcW w:type="dxa" w:w="3173"/>
          </w:tcPr>
          <w:p>
            <w:r>
              <w:rPr>
                <w:b w:val="0"/>
                <w:sz w:val="19"/>
              </w:rPr>
              <w:t>Hosting in Deutschland, tägliche Sicherung, Updates, Support · «Arbeitsplätze» Arbeitsplätze</w:t>
            </w:r>
          </w:p>
        </w:tc>
        <w:tc>
          <w:tcPr>
            <w:tcW w:type="dxa" w:w="3173"/>
          </w:tcPr>
          <w:p>
            <w:r>
              <w:rPr>
                <w:b/>
                <w:sz w:val="19"/>
              </w:rPr>
              <w:t>«Monatlich» / Monat</w:t>
            </w:r>
          </w:p>
        </w:tc>
      </w:tr>
      <w:tr>
        <w:tc>
          <w:tcPr>
            <w:tcW w:type="dxa" w:w="3173"/>
          </w:tcPr>
          <w:p>
            <w:r>
              <w:rPr>
                <w:b/>
                <w:sz w:val="19"/>
              </w:rPr>
              <w:t>KI-Nutzung</w:t>
            </w:r>
          </w:p>
        </w:tc>
        <w:tc>
          <w:tcPr>
            <w:tcW w:type="dxa" w:w="3173"/>
          </w:tcPr>
          <w:p>
            <w:r>
              <w:rPr>
                <w:b w:val="0"/>
                <w:sz w:val="19"/>
              </w:rPr>
              <w:t>Schwärzung, Auslesen, Zusammenfassungen, zu Selbstkosten weiterberechnet</w:t>
            </w:r>
          </w:p>
        </w:tc>
        <w:tc>
          <w:tcPr>
            <w:tcW w:type="dxa" w:w="3173"/>
          </w:tcPr>
          <w:p>
            <w:r>
              <w:rPr>
                <w:b/>
                <w:sz w:val="19"/>
              </w:rPr>
              <w:t>nach Verbrauch</w:t>
            </w:r>
          </w:p>
        </w:tc>
      </w:tr>
    </w:tbl>
    <w:p>
      <w:pPr>
        <w:spacing w:before="160" w:after="120"/>
      </w:pPr>
      <w:r>
        <w:rPr>
          <w:b w:val="0"/>
          <w:color w:val="5B6678"/>
          <w:sz w:val="19"/>
        </w:rPr>
        <w:t>Alle Beträge netto zzgl. Umsatzsteuer. Die Einrichtung ist in zwei Raten zu zahlen: 30 % bei Auftragserteilung, 70 % nach Abnahme und Produktivstart.</w:t>
      </w:r>
    </w:p>
    <w:p>
      <w:pPr>
        <w:spacing w:before="400" w:after="40"/>
      </w:pPr>
      <w:r>
        <w:rPr>
          <w:b/>
          <w:color w:val="3B82F6"/>
          <w:sz w:val="28"/>
        </w:rPr>
        <w:t>05  Weiterentwicklung</w:t>
      </w:r>
    </w:p>
    <w:p>
      <w:pPr>
        <w:spacing w:before="0" w:after="200"/>
        <w:pBdr>
          <w:bottom w:val="single" w:sz="6" w:color="DDE3EC"/>
        </w:pBdr>
      </w:pPr>
    </w:p>
    <w:p>
      <w:pPr>
        <w:spacing w:before="0" w:after="120"/>
      </w:pPr>
      <w:r>
        <w:rPr>
          <w:b w:val="0"/>
          <w:color w:val="141B2A"/>
          <w:sz w:val="21"/>
        </w:rPr>
        <w:t>Was nach dem Start dazukommt, wird zum Stundensatz von «Stundensatz» netto abgerechnet. Bei klarem Umfang auf Wunsch als Festpreis statt nach Aufwand.</w:t>
      </w:r>
    </w:p>
    <w:p>
      <w:pPr>
        <w:spacing w:before="400" w:after="40"/>
      </w:pPr>
      <w:r>
        <w:rPr>
          <w:b/>
          <w:color w:val="3B82F6"/>
          <w:sz w:val="28"/>
        </w:rPr>
        <w:t>06  Datenschutz, Betrieb und Ausstieg</w:t>
      </w:r>
    </w:p>
    <w:p>
      <w:pPr>
        <w:spacing w:before="0" w:after="200"/>
        <w:pBdr>
          <w:bottom w:val="single" w:sz="6" w:color="DDE3EC"/>
        </w:pBdr>
      </w:pPr>
    </w:p>
    <w:p>
      <w:pPr>
        <w:pStyle w:val="ListBullet"/>
        <w:spacing w:after="60"/>
      </w:pPr>
      <w:r>
        <w:rPr>
          <w:color w:val="141B2A"/>
          <w:sz w:val="21"/>
        </w:rPr>
        <w:t>Betrieb auf Servern in Deutschland, Auftragsverarbeitungsvertrag nach Art. 28 DSGVO</w:t>
      </w:r>
    </w:p>
    <w:p>
      <w:pPr>
        <w:pStyle w:val="ListBullet"/>
        <w:spacing w:after="60"/>
      </w:pPr>
      <w:r>
        <w:rPr>
          <w:color w:val="141B2A"/>
          <w:sz w:val="21"/>
        </w:rPr>
        <w:t>Rollen und Rechte werden serverseitig geprüft, nicht nur in der Oberfläche</w:t>
      </w:r>
    </w:p>
    <w:p>
      <w:pPr>
        <w:pStyle w:val="ListBullet"/>
        <w:spacing w:after="60"/>
      </w:pPr>
      <w:r>
        <w:rPr>
          <w:color w:val="141B2A"/>
          <w:sz w:val="21"/>
        </w:rPr>
        <w:t>Löschfristen mit Vorwarnliste, 60 Tage im Voraus sichtbar</w:t>
      </w:r>
    </w:p>
    <w:p>
      <w:pPr>
        <w:pStyle w:val="ListBullet"/>
        <w:spacing w:after="60"/>
      </w:pPr>
      <w:r>
        <w:rPr>
          <w:color w:val="141B2A"/>
          <w:sz w:val="21"/>
        </w:rPr>
        <w:t>Vollständiger Datenexport jederzeit, ohne Zusatzkosten</w:t>
      </w:r>
    </w:p>
    <w:p>
      <w:pPr>
        <w:pStyle w:val="ListBullet"/>
        <w:spacing w:after="60"/>
      </w:pPr>
      <w:r>
        <w:rPr>
          <w:color w:val="141B2A"/>
          <w:sz w:val="21"/>
        </w:rPr>
        <w:t>Anrufmitschrift und Zusammenfassung werden erst eingeschaltet, wenn die rechtliche Grundlage bei «Firma» steht</w:t>
      </w:r>
    </w:p>
    <w:p>
      <w:pPr>
        <w:spacing w:before="400" w:after="40"/>
      </w:pPr>
      <w:r>
        <w:rPr>
          <w:b/>
          <w:color w:val="3B82F6"/>
          <w:sz w:val="28"/>
        </w:rPr>
        <w:t>07  Auftragserteilung</w:t>
      </w:r>
    </w:p>
    <w:p>
      <w:pPr>
        <w:spacing w:before="0" w:after="200"/>
        <w:pBdr>
          <w:bottom w:val="single" w:sz="6" w:color="DDE3EC"/>
        </w:pBdr>
      </w:pPr>
    </w:p>
    <w:p>
      <w:pPr>
        <w:spacing w:before="0" w:after="440"/>
      </w:pPr>
      <w:r>
        <w:rPr>
          <w:b w:val="0"/>
          <w:color w:val="141B2A"/>
          <w:sz w:val="21"/>
        </w:rPr>
        <w:t>Mit der Unterschrift wird dieses Angebot zum Auftrag. Die Einrichtung beginnt nach Eingang der ersten Rate.</w:t>
      </w:r>
    </w:p>
    <w:tbl>
      <w:tblPr>
        <w:tblW w:type="auto" w:w="0"/>
        <w:tblLook w:firstColumn="1" w:firstRow="1" w:lastColumn="0" w:lastRow="0" w:noHBand="0" w:noVBand="1" w:val="04A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759"/>
        <w:gridCol w:w="4759"/>
      </w:tblGrid>
      <w:tr>
        <w:tc>
          <w:tcPr>
            <w:tcW w:type="dxa" w:w="4759"/>
          </w:tcPr>
          <w:p>
            <w:pPr>
              <w:pBdr>
                <w:top w:val="single" w:sz="6" w:color="9AA6B8"/>
              </w:pBdr>
            </w:pPr>
            <w:r>
              <w:rPr>
                <w:color w:val="5B6678"/>
                <w:sz w:val="17"/>
              </w:rPr>
              <w:t>Ort, Datum, Unterschrift</w:t>
            </w:r>
          </w:p>
        </w:tc>
        <w:tc>
          <w:tcPr>
            <w:tcW w:type="dxa" w:w="4759"/>
          </w:tcPr>
          <w:p>
            <w:pPr>
              <w:pBdr>
                <w:top w:val="single" w:sz="6" w:color="9AA6B8"/>
              </w:pBdr>
            </w:pPr>
            <w:r>
              <w:rPr>
                <w:color w:val="5B6678"/>
                <w:sz w:val="17"/>
              </w:rPr>
              <w:t>Ort, Datum, Unterschrift</w:t>
            </w:r>
          </w:p>
        </w:tc>
      </w:tr>
      <w:tr>
        <w:tc>
          <w:tcPr>
            <w:tcW w:type="dxa" w:w="4759"/>
          </w:tcPr>
          <w:p>
            <w:r>
              <w:rPr>
                <w:b/>
                <w:sz w:val="20"/>
              </w:rPr>
              <w:t>Wintic GmbH</w:t>
            </w:r>
          </w:p>
        </w:tc>
        <w:tc>
          <w:tcPr>
            <w:tcW w:type="dxa" w:w="4759"/>
          </w:tcPr>
          <w:p>
            <w:r>
              <w:rPr>
                <w:b/>
                <w:sz w:val="20"/>
              </w:rPr>
              <w:t>«Firma»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34" w:right="1361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color w:val="5B6678"/>
        <w:sz w:val="15"/>
      </w:rPr>
      <w:t>Wintic GmbH · Steige 44/2 · 74821 Mosbach · Geschäftsführer Erik Winter · AG Mannheim HRB 757972 · USt-IdNr. DE462365069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drawing>
        <wp:inline xmlns:a="http://schemas.openxmlformats.org/drawingml/2006/main" xmlns:pic="http://schemas.openxmlformats.org/drawingml/2006/picture">
          <wp:extent cx="342000" cy="342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recrio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000" cy="342000"/>
                  </a:xfrm>
                  <a:prstGeom prst="rect"/>
                </pic:spPr>
              </pic:pic>
            </a:graphicData>
          </a:graphic>
        </wp:inline>
      </w:drawing>
    </w:r>
    <w:r>
      <w:rPr>
        <w:b/>
        <w:color w:val="141B2A"/>
        <w:sz w:val="30"/>
      </w:rPr>
      <w:t xml:space="preserve">  Recrio</w:t>
    </w:r>
    <w:r>
      <w:rPr>
        <w:color w:val="5B6678"/>
        <w:sz w:val="18"/>
      </w:rPr>
      <w:t xml:space="preserve">        Angebot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41B2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